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F5F3B" w14:textId="77777777" w:rsidR="00E45983" w:rsidRDefault="00A62CA3">
      <w:pPr>
        <w:spacing w:after="0" w:line="259" w:lineRule="auto"/>
        <w:ind w:left="56" w:firstLine="0"/>
        <w:jc w:val="center"/>
      </w:pPr>
      <w:r>
        <w:rPr>
          <w:noProof/>
        </w:rPr>
        <w:drawing>
          <wp:inline distT="0" distB="0" distL="0" distR="0" wp14:anchorId="457FDF65" wp14:editId="55A9F557">
            <wp:extent cx="2334006" cy="566420"/>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113" name="Picture 113"/>
                    <pic:cNvPicPr/>
                  </pic:nvPicPr>
                  <pic:blipFill>
                    <a:blip r:embed="rId7"/>
                    <a:stretch>
                      <a:fillRect/>
                    </a:stretch>
                  </pic:blipFill>
                  <pic:spPr>
                    <a:xfrm>
                      <a:off x="0" y="0"/>
                      <a:ext cx="2334006" cy="566420"/>
                    </a:xfrm>
                    <a:prstGeom prst="rect">
                      <a:avLst/>
                    </a:prstGeom>
                  </pic:spPr>
                </pic:pic>
              </a:graphicData>
            </a:graphic>
          </wp:inline>
        </w:drawing>
      </w:r>
      <w:r>
        <w:rPr>
          <w:rFonts w:ascii="Times New Roman" w:eastAsia="Times New Roman" w:hAnsi="Times New Roman" w:cs="Times New Roman"/>
        </w:rPr>
        <w:t xml:space="preserve"> </w:t>
      </w:r>
    </w:p>
    <w:p w14:paraId="6EE54D99" w14:textId="77777777" w:rsidR="00E45983" w:rsidRDefault="00A62CA3">
      <w:pPr>
        <w:spacing w:after="373" w:line="259" w:lineRule="auto"/>
        <w:ind w:left="61" w:firstLine="0"/>
        <w:jc w:val="center"/>
      </w:pPr>
      <w:r>
        <w:rPr>
          <w:rFonts w:ascii="Tw Cen MT" w:eastAsia="Tw Cen MT" w:hAnsi="Tw Cen MT" w:cs="Tw Cen MT"/>
        </w:rPr>
        <w:t xml:space="preserve"> </w:t>
      </w:r>
    </w:p>
    <w:p w14:paraId="6DDEC776" w14:textId="7A735122" w:rsidR="00E45983" w:rsidRDefault="00304A60">
      <w:pPr>
        <w:pBdr>
          <w:top w:val="single" w:sz="36" w:space="0" w:color="000000"/>
          <w:left w:val="single" w:sz="36" w:space="0" w:color="000000"/>
          <w:bottom w:val="single" w:sz="36" w:space="0" w:color="000000"/>
          <w:right w:val="single" w:sz="36" w:space="0" w:color="000000"/>
        </w:pBdr>
        <w:spacing w:after="0" w:line="259" w:lineRule="auto"/>
        <w:ind w:left="0" w:right="3" w:firstLine="0"/>
        <w:jc w:val="center"/>
      </w:pPr>
      <w:r>
        <w:rPr>
          <w:b/>
          <w:sz w:val="48"/>
        </w:rPr>
        <w:t xml:space="preserve">Direct Aid Program </w:t>
      </w:r>
      <w:r w:rsidR="00A62CA3">
        <w:rPr>
          <w:b/>
          <w:sz w:val="48"/>
        </w:rPr>
        <w:t xml:space="preserve">Guidelines </w:t>
      </w:r>
      <w:r w:rsidR="00446755">
        <w:rPr>
          <w:b/>
          <w:sz w:val="48"/>
        </w:rPr>
        <w:t>2021</w:t>
      </w:r>
    </w:p>
    <w:p w14:paraId="1696F4D4" w14:textId="77777777" w:rsidR="00E45983" w:rsidRDefault="00A62CA3">
      <w:pPr>
        <w:spacing w:after="0" w:line="259" w:lineRule="auto"/>
        <w:ind w:left="61" w:firstLine="0"/>
        <w:jc w:val="center"/>
      </w:pPr>
      <w:r>
        <w:rPr>
          <w:b/>
        </w:rPr>
        <w:t xml:space="preserve"> </w:t>
      </w:r>
    </w:p>
    <w:p w14:paraId="383B1F57" w14:textId="77777777" w:rsidR="00E45983" w:rsidRPr="00083BDE" w:rsidRDefault="00304A60">
      <w:pPr>
        <w:spacing w:after="0" w:line="259" w:lineRule="auto"/>
        <w:ind w:left="0" w:firstLine="0"/>
        <w:jc w:val="left"/>
        <w:rPr>
          <w:b/>
        </w:rPr>
      </w:pPr>
      <w:r>
        <w:rPr>
          <w:b/>
        </w:rPr>
        <w:t xml:space="preserve">What is the Direct Aid Program? </w:t>
      </w:r>
    </w:p>
    <w:p w14:paraId="4F2E1A88" w14:textId="77777777" w:rsidR="00083BDE" w:rsidRDefault="00083BDE">
      <w:pPr>
        <w:spacing w:after="0" w:line="259" w:lineRule="auto"/>
        <w:ind w:left="0" w:firstLine="0"/>
        <w:jc w:val="left"/>
      </w:pPr>
    </w:p>
    <w:p w14:paraId="36BCA9A6" w14:textId="77777777" w:rsidR="00E45983" w:rsidRDefault="00A62CA3">
      <w:pPr>
        <w:spacing w:after="0"/>
      </w:pPr>
      <w:r>
        <w:t>The Direct Aid Program (DA</w:t>
      </w:r>
      <w:r w:rsidR="0096051A">
        <w:t xml:space="preserve">P) is a flexible, small grants program </w:t>
      </w:r>
      <w:r w:rsidR="00CF74DD">
        <w:t>funded by the Australian Government,</w:t>
      </w:r>
      <w:r>
        <w:t xml:space="preserve"> available to non</w:t>
      </w:r>
      <w:r w:rsidR="00CF74DD">
        <w:t>-</w:t>
      </w:r>
      <w:r>
        <w:t xml:space="preserve">government organizations and community groups engaged in development </w:t>
      </w:r>
      <w:r w:rsidR="00CB2824">
        <w:t>projects</w:t>
      </w:r>
      <w:r>
        <w:t xml:space="preserve">. </w:t>
      </w:r>
    </w:p>
    <w:p w14:paraId="7EC521C3" w14:textId="77777777" w:rsidR="00C235FA" w:rsidRDefault="00C235FA">
      <w:pPr>
        <w:spacing w:after="0"/>
      </w:pPr>
    </w:p>
    <w:p w14:paraId="6BAD3B96" w14:textId="77777777" w:rsidR="00C235FA" w:rsidRDefault="00C235FA">
      <w:pPr>
        <w:spacing w:after="0"/>
        <w:rPr>
          <w:b/>
        </w:rPr>
      </w:pPr>
      <w:r w:rsidRPr="00C235FA">
        <w:rPr>
          <w:b/>
        </w:rPr>
        <w:t xml:space="preserve">Objective </w:t>
      </w:r>
    </w:p>
    <w:p w14:paraId="6FD3CC2C" w14:textId="77777777" w:rsidR="00CB2824" w:rsidRPr="00C235FA" w:rsidRDefault="00CB2824">
      <w:pPr>
        <w:spacing w:after="0"/>
        <w:rPr>
          <w:b/>
        </w:rPr>
      </w:pPr>
    </w:p>
    <w:p w14:paraId="2B4C965E" w14:textId="77777777" w:rsidR="00C235FA" w:rsidRDefault="00C235FA">
      <w:pPr>
        <w:spacing w:after="0"/>
      </w:pPr>
      <w:r>
        <w:t xml:space="preserve">To support </w:t>
      </w:r>
      <w:r w:rsidR="00CB2824">
        <w:t>projects</w:t>
      </w:r>
      <w:r>
        <w:t xml:space="preserve"> with a strong development focus that complement Australia’s broader aid program, which contributes to sustainable economic growth and </w:t>
      </w:r>
      <w:r w:rsidR="00040564">
        <w:t>improved living conditions</w:t>
      </w:r>
      <w:r>
        <w:t xml:space="preserve">. </w:t>
      </w:r>
    </w:p>
    <w:p w14:paraId="34315AA8" w14:textId="77777777" w:rsidR="00D65C32" w:rsidRDefault="00D65C32">
      <w:pPr>
        <w:spacing w:after="0" w:line="259" w:lineRule="auto"/>
        <w:ind w:left="0" w:firstLine="0"/>
        <w:jc w:val="left"/>
      </w:pPr>
    </w:p>
    <w:p w14:paraId="646FB5F2" w14:textId="77777777" w:rsidR="00D65C32" w:rsidRPr="00D65C32" w:rsidRDefault="00D65C32">
      <w:pPr>
        <w:spacing w:after="0" w:line="259" w:lineRule="auto"/>
        <w:ind w:left="0" w:firstLine="0"/>
        <w:jc w:val="left"/>
        <w:rPr>
          <w:b/>
        </w:rPr>
      </w:pPr>
      <w:r w:rsidRPr="00D65C32">
        <w:rPr>
          <w:b/>
        </w:rPr>
        <w:t xml:space="preserve">Who can apply? </w:t>
      </w:r>
    </w:p>
    <w:p w14:paraId="2CA3F9BB" w14:textId="77777777" w:rsidR="00D65C32" w:rsidRDefault="00D65C32">
      <w:pPr>
        <w:spacing w:after="0" w:line="259" w:lineRule="auto"/>
        <w:ind w:left="0" w:firstLine="0"/>
        <w:jc w:val="left"/>
      </w:pPr>
    </w:p>
    <w:p w14:paraId="29B0353B" w14:textId="77777777" w:rsidR="00D65C32" w:rsidRDefault="0096051A">
      <w:pPr>
        <w:spacing w:after="0" w:line="259" w:lineRule="auto"/>
        <w:ind w:left="0" w:firstLine="0"/>
        <w:jc w:val="left"/>
      </w:pPr>
      <w:r>
        <w:t>DAP is available on a not-for-profit basis to c</w:t>
      </w:r>
      <w:r w:rsidR="00D65C32">
        <w:t xml:space="preserve">ommunity groups, Non-Government Organisations (NGOs) and other entities engaged in small scale development </w:t>
      </w:r>
      <w:r w:rsidR="00CB2824">
        <w:t>projects</w:t>
      </w:r>
      <w:r w:rsidR="00CF74DD">
        <w:t>, such as religious groups and schools</w:t>
      </w:r>
      <w:r w:rsidR="00D65C32">
        <w:t xml:space="preserve">. </w:t>
      </w:r>
    </w:p>
    <w:p w14:paraId="67F6D80C" w14:textId="77777777" w:rsidR="00D65C32" w:rsidRDefault="00D65C32">
      <w:pPr>
        <w:spacing w:after="0" w:line="259" w:lineRule="auto"/>
        <w:ind w:left="0" w:firstLine="0"/>
        <w:jc w:val="left"/>
      </w:pPr>
    </w:p>
    <w:p w14:paraId="03CB265F" w14:textId="77777777" w:rsidR="002E3FF7" w:rsidRPr="009B690A" w:rsidRDefault="002E3FF7">
      <w:pPr>
        <w:spacing w:after="0" w:line="259" w:lineRule="auto"/>
        <w:ind w:left="0" w:firstLine="0"/>
        <w:jc w:val="left"/>
        <w:rPr>
          <w:b/>
        </w:rPr>
      </w:pPr>
      <w:r w:rsidRPr="009B690A">
        <w:rPr>
          <w:b/>
        </w:rPr>
        <w:t xml:space="preserve">What </w:t>
      </w:r>
      <w:r w:rsidR="00CB2824">
        <w:rPr>
          <w:b/>
        </w:rPr>
        <w:t xml:space="preserve">projects </w:t>
      </w:r>
      <w:r w:rsidRPr="009B690A">
        <w:rPr>
          <w:b/>
        </w:rPr>
        <w:t>are eligible for DAP support?</w:t>
      </w:r>
    </w:p>
    <w:p w14:paraId="238BAE1B" w14:textId="77777777" w:rsidR="002E3FF7" w:rsidRDefault="002E3FF7">
      <w:pPr>
        <w:spacing w:after="0" w:line="259" w:lineRule="auto"/>
        <w:ind w:left="0" w:firstLine="0"/>
        <w:jc w:val="left"/>
      </w:pPr>
    </w:p>
    <w:p w14:paraId="40A30000" w14:textId="77777777" w:rsidR="00CB2824" w:rsidRDefault="002E3FF7" w:rsidP="002E3FF7">
      <w:pPr>
        <w:spacing w:after="0"/>
      </w:pPr>
      <w:r>
        <w:t xml:space="preserve">DAP is able to fund </w:t>
      </w:r>
      <w:r w:rsidR="00CB2824">
        <w:t>projects</w:t>
      </w:r>
      <w:r>
        <w:t xml:space="preserve"> that have a direct, practical and immediate impact. </w:t>
      </w:r>
    </w:p>
    <w:p w14:paraId="4843D0B3" w14:textId="77777777" w:rsidR="00CB2824" w:rsidRDefault="00CB2824" w:rsidP="002E3FF7">
      <w:pPr>
        <w:spacing w:after="0"/>
      </w:pPr>
    </w:p>
    <w:p w14:paraId="6CAA2E8D" w14:textId="77777777" w:rsidR="002E3FF7" w:rsidRDefault="002E3FF7" w:rsidP="002E3FF7">
      <w:pPr>
        <w:spacing w:after="0"/>
      </w:pPr>
      <w:r w:rsidRPr="00CB2824">
        <w:rPr>
          <w:b/>
        </w:rPr>
        <w:t>Favourable consideration</w:t>
      </w:r>
      <w:r>
        <w:t xml:space="preserve"> will be provided to</w:t>
      </w:r>
      <w:r w:rsidR="00CB2824">
        <w:t xml:space="preserve"> projects</w:t>
      </w:r>
      <w:r>
        <w:t xml:space="preserve">: </w:t>
      </w:r>
    </w:p>
    <w:p w14:paraId="57C8DB05" w14:textId="1FC65C3C" w:rsidR="002E3FF7" w:rsidRDefault="002E3FF7" w:rsidP="002E3FF7">
      <w:pPr>
        <w:pStyle w:val="ListParagraph"/>
        <w:numPr>
          <w:ilvl w:val="0"/>
          <w:numId w:val="5"/>
        </w:numPr>
        <w:spacing w:after="0"/>
      </w:pPr>
      <w:r>
        <w:t xml:space="preserve">in the areas of community and/or rural development, education, gender equality, </w:t>
      </w:r>
      <w:r w:rsidR="00CF74DD">
        <w:t xml:space="preserve">health and </w:t>
      </w:r>
      <w:r>
        <w:t>disabilit</w:t>
      </w:r>
      <w:r w:rsidR="00CF74DD">
        <w:t>y</w:t>
      </w:r>
      <w:r>
        <w:t>, sport, youth, human rights, the environment,</w:t>
      </w:r>
      <w:r w:rsidR="00446755">
        <w:t xml:space="preserve"> </w:t>
      </w:r>
      <w:r>
        <w:t>economic empowerment</w:t>
      </w:r>
      <w:r w:rsidR="00CF74DD">
        <w:t>, agriculture</w:t>
      </w:r>
      <w:r>
        <w:t xml:space="preserve"> and ad hoc humanitarian relief;</w:t>
      </w:r>
    </w:p>
    <w:p w14:paraId="4F873C23" w14:textId="77777777" w:rsidR="002E3FF7" w:rsidRDefault="002E3FF7" w:rsidP="002E3FF7">
      <w:pPr>
        <w:pStyle w:val="ListParagraph"/>
        <w:numPr>
          <w:ilvl w:val="0"/>
          <w:numId w:val="5"/>
        </w:numPr>
        <w:spacing w:after="0"/>
      </w:pPr>
      <w:r>
        <w:t>where applicants and/or communities make a contribution in labour materials, transport or cash;</w:t>
      </w:r>
    </w:p>
    <w:p w14:paraId="121AE515" w14:textId="77777777" w:rsidR="00CF74DD" w:rsidRDefault="00CF74DD" w:rsidP="002E3FF7">
      <w:pPr>
        <w:pStyle w:val="ListParagraph"/>
        <w:numPr>
          <w:ilvl w:val="0"/>
          <w:numId w:val="5"/>
        </w:numPr>
        <w:spacing w:after="0"/>
      </w:pPr>
      <w:r>
        <w:t>pursue innovative approaches, projects and partners;</w:t>
      </w:r>
    </w:p>
    <w:p w14:paraId="2CD30C5B" w14:textId="77777777" w:rsidR="002E3FF7" w:rsidRDefault="002E3FF7" w:rsidP="002E3FF7">
      <w:pPr>
        <w:pStyle w:val="ListParagraph"/>
        <w:numPr>
          <w:ilvl w:val="0"/>
          <w:numId w:val="5"/>
        </w:numPr>
        <w:spacing w:after="0"/>
      </w:pPr>
      <w:r>
        <w:t>that are achievable and have sustainable outcomes</w:t>
      </w:r>
      <w:r w:rsidR="00CB2824">
        <w:t>; and/or</w:t>
      </w:r>
    </w:p>
    <w:p w14:paraId="378DBB9A" w14:textId="77777777" w:rsidR="002E3FF7" w:rsidRDefault="002E3FF7" w:rsidP="002E3FF7">
      <w:pPr>
        <w:pStyle w:val="ListParagraph"/>
        <w:numPr>
          <w:ilvl w:val="0"/>
          <w:numId w:val="5"/>
        </w:numPr>
        <w:spacing w:after="0"/>
      </w:pPr>
      <w:r>
        <w:t>that provide educational or occupational/skills training and have a clear plan for mea</w:t>
      </w:r>
      <w:r w:rsidR="00CB2824">
        <w:t>suring the success of training.</w:t>
      </w:r>
    </w:p>
    <w:p w14:paraId="5362D3CB" w14:textId="77777777" w:rsidR="002E3FF7" w:rsidRDefault="002E3FF7" w:rsidP="002E3FF7">
      <w:pPr>
        <w:spacing w:after="0"/>
      </w:pPr>
    </w:p>
    <w:p w14:paraId="1163EC37" w14:textId="77777777" w:rsidR="00116591" w:rsidRDefault="00116591" w:rsidP="002E3FF7">
      <w:pPr>
        <w:spacing w:after="0"/>
      </w:pPr>
    </w:p>
    <w:p w14:paraId="4169A8D0" w14:textId="77777777" w:rsidR="00116591" w:rsidRDefault="00116591" w:rsidP="002E3FF7">
      <w:pPr>
        <w:spacing w:after="0"/>
      </w:pPr>
    </w:p>
    <w:p w14:paraId="0D7DFB33" w14:textId="77777777" w:rsidR="002E3FF7" w:rsidRDefault="00CB2824" w:rsidP="002E3FF7">
      <w:pPr>
        <w:spacing w:after="0"/>
      </w:pPr>
      <w:r>
        <w:t>Projects</w:t>
      </w:r>
      <w:r w:rsidR="002E3FF7">
        <w:t xml:space="preserve"> that would </w:t>
      </w:r>
      <w:r>
        <w:t xml:space="preserve">generally </w:t>
      </w:r>
      <w:r w:rsidR="002E3FF7" w:rsidRPr="00CB2824">
        <w:rPr>
          <w:b/>
        </w:rPr>
        <w:t>not be funded</w:t>
      </w:r>
      <w:r w:rsidR="002E3FF7">
        <w:t xml:space="preserve"> include:</w:t>
      </w:r>
    </w:p>
    <w:p w14:paraId="351A7984" w14:textId="77777777" w:rsidR="002E3FF7" w:rsidRDefault="002E3FF7" w:rsidP="001D245B">
      <w:pPr>
        <w:pStyle w:val="ListParagraph"/>
        <w:numPr>
          <w:ilvl w:val="0"/>
          <w:numId w:val="6"/>
        </w:numPr>
        <w:spacing w:after="0"/>
      </w:pPr>
      <w:r>
        <w:t>micro credit schemes or projects that involve the return of money;</w:t>
      </w:r>
    </w:p>
    <w:p w14:paraId="53B49A50" w14:textId="77777777" w:rsidR="002E3FF7" w:rsidRDefault="002E3FF7" w:rsidP="001D245B">
      <w:pPr>
        <w:pStyle w:val="ListParagraph"/>
        <w:numPr>
          <w:ilvl w:val="0"/>
          <w:numId w:val="6"/>
        </w:numPr>
        <w:spacing w:after="0"/>
      </w:pPr>
      <w:r>
        <w:t>commercial ventures</w:t>
      </w:r>
      <w:r w:rsidR="00CB2824">
        <w:t>;</w:t>
      </w:r>
    </w:p>
    <w:p w14:paraId="5290D557" w14:textId="77777777" w:rsidR="00116591" w:rsidRDefault="00116591" w:rsidP="00116591">
      <w:pPr>
        <w:pStyle w:val="ListParagraph"/>
        <w:numPr>
          <w:ilvl w:val="0"/>
          <w:numId w:val="6"/>
        </w:numPr>
        <w:spacing w:after="0"/>
      </w:pPr>
      <w:r>
        <w:t>purchase or rental of property or land;</w:t>
      </w:r>
    </w:p>
    <w:p w14:paraId="19554220" w14:textId="77777777" w:rsidR="002E3FF7" w:rsidRDefault="00116591" w:rsidP="00116591">
      <w:pPr>
        <w:pStyle w:val="ListParagraph"/>
        <w:numPr>
          <w:ilvl w:val="0"/>
          <w:numId w:val="6"/>
        </w:numPr>
        <w:spacing w:after="0"/>
      </w:pPr>
      <w:r>
        <w:t xml:space="preserve">routine, recurring running costs and administrative expenses including office rental and utility costs, spare parts, routine maintenance </w:t>
      </w:r>
      <w:r w:rsidR="002E3FF7">
        <w:t xml:space="preserve">purchase of major assets eg vehicles, boats, computers, air </w:t>
      </w:r>
      <w:r w:rsidR="001D245B">
        <w:t>conditioning</w:t>
      </w:r>
      <w:r w:rsidR="002E3FF7">
        <w:t xml:space="preserve"> units etc</w:t>
      </w:r>
      <w:r w:rsidR="00CB2824">
        <w:t>;</w:t>
      </w:r>
    </w:p>
    <w:p w14:paraId="76D67F18" w14:textId="77777777" w:rsidR="00116591" w:rsidRDefault="00116591" w:rsidP="00116591">
      <w:pPr>
        <w:pStyle w:val="ListParagraph"/>
        <w:numPr>
          <w:ilvl w:val="0"/>
          <w:numId w:val="6"/>
        </w:numPr>
        <w:spacing w:after="0"/>
      </w:pPr>
      <w:r>
        <w:t>staff salaries;</w:t>
      </w:r>
    </w:p>
    <w:p w14:paraId="1DD6A1C6" w14:textId="77777777" w:rsidR="002E3FF7" w:rsidRDefault="002E3FF7" w:rsidP="001D245B">
      <w:pPr>
        <w:pStyle w:val="ListParagraph"/>
        <w:numPr>
          <w:ilvl w:val="0"/>
          <w:numId w:val="6"/>
        </w:numPr>
        <w:spacing w:after="0"/>
      </w:pPr>
      <w:r>
        <w:t xml:space="preserve">Australian or </w:t>
      </w:r>
      <w:r w:rsidR="001D245B">
        <w:t>overseas</w:t>
      </w:r>
      <w:r>
        <w:t xml:space="preserve"> study tours</w:t>
      </w:r>
      <w:r w:rsidR="00CB2824">
        <w:t>;</w:t>
      </w:r>
    </w:p>
    <w:p w14:paraId="4E08EBB1" w14:textId="77777777" w:rsidR="002E3FF7" w:rsidRDefault="00040564" w:rsidP="001D245B">
      <w:pPr>
        <w:pStyle w:val="ListParagraph"/>
        <w:numPr>
          <w:ilvl w:val="0"/>
          <w:numId w:val="6"/>
        </w:numPr>
        <w:spacing w:after="0"/>
      </w:pPr>
      <w:r>
        <w:t>i</w:t>
      </w:r>
      <w:r w:rsidR="002E3FF7">
        <w:t>nternational travel</w:t>
      </w:r>
      <w:r w:rsidR="00CB2824">
        <w:t>;</w:t>
      </w:r>
    </w:p>
    <w:p w14:paraId="4746B912" w14:textId="18D6F9EA" w:rsidR="002E3FF7" w:rsidRDefault="00040564" w:rsidP="001D245B">
      <w:pPr>
        <w:pStyle w:val="ListParagraph"/>
        <w:numPr>
          <w:ilvl w:val="0"/>
          <w:numId w:val="6"/>
        </w:numPr>
        <w:spacing w:after="0"/>
      </w:pPr>
      <w:r>
        <w:t>s</w:t>
      </w:r>
      <w:r w:rsidR="002E3FF7">
        <w:t>ponsorship of major sporting tournaments or cultural displays that do not have a clear developmental benefit</w:t>
      </w:r>
      <w:r w:rsidR="00446755">
        <w:t>;</w:t>
      </w:r>
    </w:p>
    <w:p w14:paraId="7F36C439" w14:textId="41E79731" w:rsidR="002E3FF7" w:rsidRDefault="00040564" w:rsidP="001D245B">
      <w:pPr>
        <w:pStyle w:val="ListParagraph"/>
        <w:numPr>
          <w:ilvl w:val="0"/>
          <w:numId w:val="6"/>
        </w:numPr>
        <w:spacing w:after="0"/>
      </w:pPr>
      <w:r>
        <w:t>f</w:t>
      </w:r>
      <w:r w:rsidR="002E3FF7">
        <w:t>reight o</w:t>
      </w:r>
      <w:r w:rsidR="001D245B">
        <w:t>f</w:t>
      </w:r>
      <w:r w:rsidR="002E3FF7">
        <w:t xml:space="preserve"> goods, except </w:t>
      </w:r>
      <w:r w:rsidR="0048092A">
        <w:t>where the</w:t>
      </w:r>
      <w:r w:rsidR="002E3FF7">
        <w:t xml:space="preserve"> applicant demonstrates that it is not possible to source the same </w:t>
      </w:r>
      <w:r w:rsidR="001D245B">
        <w:t>items</w:t>
      </w:r>
      <w:r w:rsidR="002E3FF7">
        <w:t xml:space="preserve"> locally</w:t>
      </w:r>
      <w:r w:rsidR="00446755">
        <w:t>; and</w:t>
      </w:r>
      <w:r w:rsidR="002E3FF7">
        <w:t xml:space="preserve"> </w:t>
      </w:r>
    </w:p>
    <w:p w14:paraId="29ADA00A" w14:textId="5B1EA174" w:rsidR="00446755" w:rsidRDefault="00446755" w:rsidP="001D245B">
      <w:pPr>
        <w:pStyle w:val="ListParagraph"/>
        <w:numPr>
          <w:ilvl w:val="0"/>
          <w:numId w:val="6"/>
        </w:numPr>
        <w:spacing w:after="0"/>
      </w:pPr>
      <w:r>
        <w:t>small scale infrastructure.</w:t>
      </w:r>
    </w:p>
    <w:p w14:paraId="7312B2FE" w14:textId="77777777" w:rsidR="002E3FF7" w:rsidRDefault="002E3FF7" w:rsidP="002E3FF7">
      <w:pPr>
        <w:spacing w:after="0"/>
      </w:pPr>
      <w:r>
        <w:t xml:space="preserve"> </w:t>
      </w:r>
    </w:p>
    <w:p w14:paraId="2F69B6E1" w14:textId="77777777" w:rsidR="001D245B" w:rsidRDefault="00CB2824">
      <w:pPr>
        <w:spacing w:after="0"/>
      </w:pPr>
      <w:r>
        <w:t xml:space="preserve">Projects </w:t>
      </w:r>
      <w:r w:rsidR="001D245B">
        <w:t xml:space="preserve">should be small-scale, contained and with finite time lines. </w:t>
      </w:r>
      <w:r>
        <w:t>Projects</w:t>
      </w:r>
      <w:r w:rsidR="001D245B">
        <w:t xml:space="preserve"> in which the applicant or community themselves makes a significant contribution in terms of labour, materials or cash are particularly well received. </w:t>
      </w:r>
    </w:p>
    <w:p w14:paraId="0599B247" w14:textId="77777777" w:rsidR="001D245B" w:rsidRDefault="001D245B">
      <w:pPr>
        <w:spacing w:after="0"/>
      </w:pPr>
    </w:p>
    <w:p w14:paraId="74590DC7" w14:textId="77777777" w:rsidR="00E45983" w:rsidRDefault="00A62CA3" w:rsidP="0048092A">
      <w:pPr>
        <w:spacing w:after="0"/>
        <w:ind w:left="0" w:firstLine="0"/>
      </w:pPr>
      <w:r>
        <w:t xml:space="preserve">Eligible </w:t>
      </w:r>
      <w:r w:rsidR="00CB2824">
        <w:t xml:space="preserve">projects </w:t>
      </w:r>
      <w:r>
        <w:t xml:space="preserve">would normally be implemented over a relatively short </w:t>
      </w:r>
      <w:r w:rsidR="00936FB0">
        <w:t>period</w:t>
      </w:r>
      <w:r w:rsidR="00083BDE">
        <w:t>, generally up to one (</w:t>
      </w:r>
      <w:r>
        <w:t>1</w:t>
      </w:r>
      <w:r w:rsidR="00083BDE">
        <w:t>)</w:t>
      </w:r>
      <w:r>
        <w:t xml:space="preserve"> year. </w:t>
      </w:r>
    </w:p>
    <w:p w14:paraId="17729025" w14:textId="77777777" w:rsidR="00E45983" w:rsidRDefault="00A62CA3">
      <w:pPr>
        <w:spacing w:after="0" w:line="259" w:lineRule="auto"/>
        <w:ind w:left="0" w:firstLine="0"/>
        <w:jc w:val="left"/>
      </w:pPr>
      <w:r>
        <w:t xml:space="preserve"> </w:t>
      </w:r>
    </w:p>
    <w:p w14:paraId="211090DE" w14:textId="77777777" w:rsidR="00E45983" w:rsidRDefault="00A62CA3">
      <w:pPr>
        <w:spacing w:after="0"/>
      </w:pPr>
      <w:r>
        <w:t>Funding limit of grants is</w:t>
      </w:r>
      <w:r w:rsidR="00083BDE">
        <w:rPr>
          <w:b/>
        </w:rPr>
        <w:t xml:space="preserve"> USD1</w:t>
      </w:r>
      <w:r>
        <w:rPr>
          <w:b/>
        </w:rPr>
        <w:t>0,000.00</w:t>
      </w:r>
      <w:r>
        <w:t xml:space="preserve">.  </w:t>
      </w:r>
      <w:r w:rsidR="00936FB0">
        <w:t>H</w:t>
      </w:r>
      <w:r>
        <w:t>igher levels of funding may be considered in exceptional circumstances.  In these instances, the scope and objectives of the project, as wel</w:t>
      </w:r>
      <w:r w:rsidR="00304A60">
        <w:t>l as the requesting organis</w:t>
      </w:r>
      <w:r>
        <w:t xml:space="preserve">ation’s demonstrated history to manage projects and acquit funds, will be considered in making this assessment.   </w:t>
      </w:r>
    </w:p>
    <w:p w14:paraId="13925BAF" w14:textId="77777777" w:rsidR="00C235FA" w:rsidRDefault="00C235FA">
      <w:pPr>
        <w:spacing w:after="0" w:line="259" w:lineRule="auto"/>
        <w:ind w:left="0" w:firstLine="0"/>
        <w:jc w:val="left"/>
      </w:pPr>
    </w:p>
    <w:p w14:paraId="70D4038A" w14:textId="77777777" w:rsidR="00E45983" w:rsidRDefault="00C235FA">
      <w:pPr>
        <w:spacing w:after="0" w:line="259" w:lineRule="auto"/>
        <w:ind w:left="0" w:firstLine="0"/>
        <w:jc w:val="left"/>
      </w:pPr>
      <w:r>
        <w:t>DAP projects should be designed to benefit the whole community and must always respect human rights and gender equity as well as being environmentally sound.</w:t>
      </w:r>
    </w:p>
    <w:p w14:paraId="1098C377" w14:textId="77777777" w:rsidR="00C235FA" w:rsidRDefault="00C235FA">
      <w:pPr>
        <w:pStyle w:val="Heading1"/>
        <w:ind w:left="-5"/>
      </w:pPr>
    </w:p>
    <w:p w14:paraId="4F8F694C" w14:textId="77777777" w:rsidR="00E45983" w:rsidRDefault="00A62CA3">
      <w:pPr>
        <w:pStyle w:val="Heading1"/>
        <w:ind w:left="-5"/>
      </w:pPr>
      <w:r>
        <w:t xml:space="preserve">Assessment </w:t>
      </w:r>
    </w:p>
    <w:p w14:paraId="4BC763DF" w14:textId="77777777" w:rsidR="00A0308E" w:rsidRPr="00A0308E" w:rsidRDefault="00A0308E" w:rsidP="00A0308E"/>
    <w:p w14:paraId="3B4F44FE" w14:textId="77777777" w:rsidR="00E45983" w:rsidRDefault="00A62CA3" w:rsidP="00936FB0">
      <w:pPr>
        <w:spacing w:after="0" w:line="259" w:lineRule="auto"/>
        <w:ind w:left="0" w:firstLine="0"/>
        <w:jc w:val="left"/>
      </w:pPr>
      <w:r>
        <w:t xml:space="preserve">Proposals will be assessed by the DAP Committee on the basis of: </w:t>
      </w:r>
    </w:p>
    <w:p w14:paraId="6B169C16" w14:textId="77777777" w:rsidR="00E45983" w:rsidRDefault="00A62CA3">
      <w:pPr>
        <w:spacing w:after="16" w:line="259" w:lineRule="auto"/>
        <w:ind w:left="0" w:firstLine="0"/>
        <w:jc w:val="left"/>
      </w:pPr>
      <w:r>
        <w:t xml:space="preserve"> </w:t>
      </w:r>
    </w:p>
    <w:p w14:paraId="5D6EF3B3" w14:textId="77777777" w:rsidR="00E45983" w:rsidRDefault="00A62CA3">
      <w:pPr>
        <w:numPr>
          <w:ilvl w:val="0"/>
          <w:numId w:val="2"/>
        </w:numPr>
        <w:ind w:hanging="360"/>
      </w:pPr>
      <w:r>
        <w:t xml:space="preserve">conformity with the objectives and guidelines of the DAP </w:t>
      </w:r>
    </w:p>
    <w:p w14:paraId="0487EFAD" w14:textId="77777777" w:rsidR="00E45983" w:rsidRDefault="00A62CA3">
      <w:pPr>
        <w:numPr>
          <w:ilvl w:val="0"/>
          <w:numId w:val="2"/>
        </w:numPr>
        <w:ind w:hanging="360"/>
      </w:pPr>
      <w:r>
        <w:t xml:space="preserve">the costs and developmental benefits of the </w:t>
      </w:r>
      <w:r w:rsidR="00936FB0">
        <w:t>application</w:t>
      </w:r>
    </w:p>
    <w:p w14:paraId="716F555B" w14:textId="77777777" w:rsidR="00446755" w:rsidRPr="00446755" w:rsidRDefault="00446755" w:rsidP="00446755">
      <w:pPr>
        <w:numPr>
          <w:ilvl w:val="0"/>
          <w:numId w:val="2"/>
        </w:numPr>
        <w:ind w:hanging="360"/>
      </w:pPr>
      <w:r w:rsidRPr="00446755">
        <w:t>the practicability of the proposed implementation arrangements, and</w:t>
      </w:r>
    </w:p>
    <w:p w14:paraId="6CD8C24D" w14:textId="77777777" w:rsidR="00E45983" w:rsidRDefault="00A62CA3">
      <w:pPr>
        <w:numPr>
          <w:ilvl w:val="0"/>
          <w:numId w:val="2"/>
        </w:numPr>
        <w:ind w:hanging="360"/>
      </w:pPr>
      <w:r>
        <w:t xml:space="preserve">achievable and sustainable outcomes </w:t>
      </w:r>
    </w:p>
    <w:p w14:paraId="52A2E3A8" w14:textId="77777777" w:rsidR="00E45983" w:rsidRDefault="00A62CA3">
      <w:pPr>
        <w:numPr>
          <w:ilvl w:val="0"/>
          <w:numId w:val="2"/>
        </w:numPr>
        <w:ind w:hanging="360"/>
      </w:pPr>
      <w:r>
        <w:t xml:space="preserve">soundness of the project’s objectives and design </w:t>
      </w:r>
    </w:p>
    <w:p w14:paraId="4E047C39" w14:textId="77777777" w:rsidR="00E45983" w:rsidRDefault="00A62CA3">
      <w:pPr>
        <w:spacing w:after="0" w:line="259" w:lineRule="auto"/>
        <w:ind w:left="0" w:firstLine="0"/>
        <w:jc w:val="left"/>
      </w:pPr>
      <w:r>
        <w:t xml:space="preserve"> </w:t>
      </w:r>
    </w:p>
    <w:p w14:paraId="1D1E6888" w14:textId="77777777" w:rsidR="00116591" w:rsidRDefault="00116591">
      <w:pPr>
        <w:spacing w:after="0" w:line="259" w:lineRule="auto"/>
        <w:ind w:left="0" w:firstLine="0"/>
        <w:jc w:val="left"/>
      </w:pPr>
    </w:p>
    <w:p w14:paraId="329CEA5F" w14:textId="77777777" w:rsidR="00116591" w:rsidRDefault="00116591">
      <w:pPr>
        <w:spacing w:after="0" w:line="259" w:lineRule="auto"/>
        <w:ind w:left="0" w:firstLine="0"/>
        <w:jc w:val="left"/>
      </w:pPr>
    </w:p>
    <w:p w14:paraId="48D8047F" w14:textId="77777777" w:rsidR="00E45983" w:rsidRDefault="00A62CA3">
      <w:pPr>
        <w:pStyle w:val="Heading1"/>
        <w:ind w:left="-5"/>
      </w:pPr>
      <w:r>
        <w:t xml:space="preserve">Project Implementation </w:t>
      </w:r>
    </w:p>
    <w:p w14:paraId="223148A4" w14:textId="77777777" w:rsidR="00E45983" w:rsidRDefault="00A62CA3">
      <w:pPr>
        <w:spacing w:after="0" w:line="259" w:lineRule="auto"/>
        <w:ind w:left="0" w:firstLine="0"/>
        <w:jc w:val="left"/>
      </w:pPr>
      <w:r>
        <w:t xml:space="preserve"> </w:t>
      </w:r>
    </w:p>
    <w:p w14:paraId="57BC8083" w14:textId="77777777" w:rsidR="00E45983" w:rsidRDefault="00A62CA3" w:rsidP="00116591">
      <w:pPr>
        <w:spacing w:after="0"/>
      </w:pPr>
      <w:r>
        <w:t xml:space="preserve">All projects should be completed </w:t>
      </w:r>
      <w:r w:rsidR="009B690A">
        <w:t xml:space="preserve">ideally </w:t>
      </w:r>
      <w:r>
        <w:t xml:space="preserve">within a year of receiving funds.   Funded projects must proceed expeditiously.  Where the commencement of a project is delayed by more than three months, the Australian Embassy may, at its discretion, require the return of the entire amount of the DAP grant. </w:t>
      </w:r>
    </w:p>
    <w:p w14:paraId="759AFF9F" w14:textId="77777777" w:rsidR="00E45983" w:rsidRDefault="00A62CA3">
      <w:pPr>
        <w:spacing w:after="0" w:line="259" w:lineRule="auto"/>
        <w:ind w:left="0" w:firstLine="0"/>
        <w:jc w:val="left"/>
      </w:pPr>
      <w:r>
        <w:tab/>
        <w:t xml:space="preserve"> </w:t>
      </w:r>
    </w:p>
    <w:p w14:paraId="564D7564" w14:textId="77777777" w:rsidR="00E45983" w:rsidRPr="00116591" w:rsidRDefault="00A62CA3" w:rsidP="00EC4400">
      <w:pPr>
        <w:spacing w:after="0" w:line="259" w:lineRule="auto"/>
        <w:ind w:left="0" w:firstLine="0"/>
        <w:jc w:val="left"/>
      </w:pPr>
      <w:r>
        <w:rPr>
          <w:b/>
        </w:rPr>
        <w:t xml:space="preserve">Interim progress report:  </w:t>
      </w:r>
      <w:r>
        <w:t>For projects lasting longer than 6 months</w:t>
      </w:r>
      <w:r>
        <w:rPr>
          <w:b/>
        </w:rPr>
        <w:t xml:space="preserve">, </w:t>
      </w:r>
      <w:r>
        <w:t xml:space="preserve">an interim progress </w:t>
      </w:r>
      <w:r w:rsidR="00966F62">
        <w:t xml:space="preserve">report </w:t>
      </w:r>
      <w:r w:rsidRPr="00116591">
        <w:t xml:space="preserve">is due to the Australian Embassy, six months after the funding contract is signed.  The purpose of the report is to provide the Australian Embassy an update of the implementation and progress of the project.   </w:t>
      </w:r>
    </w:p>
    <w:p w14:paraId="749D5644" w14:textId="77777777" w:rsidR="00E45983" w:rsidRPr="00116591" w:rsidRDefault="00A62CA3">
      <w:pPr>
        <w:spacing w:after="0" w:line="259" w:lineRule="auto"/>
        <w:ind w:left="0" w:firstLine="0"/>
        <w:jc w:val="left"/>
      </w:pPr>
      <w:r w:rsidRPr="00116591">
        <w:rPr>
          <w:b/>
        </w:rPr>
        <w:t xml:space="preserve"> </w:t>
      </w:r>
    </w:p>
    <w:p w14:paraId="53035FD8" w14:textId="77777777" w:rsidR="00E45983" w:rsidRDefault="00A62CA3">
      <w:pPr>
        <w:spacing w:after="0"/>
      </w:pPr>
      <w:r w:rsidRPr="00116591">
        <w:rPr>
          <w:b/>
        </w:rPr>
        <w:t xml:space="preserve">Project Completion: </w:t>
      </w:r>
      <w:r w:rsidRPr="00116591">
        <w:t>Within 30 days of the completion of the projec</w:t>
      </w:r>
      <w:r w:rsidR="00966F62">
        <w:t xml:space="preserve">t, a Financial/Final Acquittal </w:t>
      </w:r>
      <w:r w:rsidRPr="00116591">
        <w:t xml:space="preserve">should be submitted to the Australian Embassy.  </w:t>
      </w:r>
      <w:r w:rsidRPr="00116591">
        <w:rPr>
          <w:b/>
        </w:rPr>
        <w:t xml:space="preserve">For </w:t>
      </w:r>
      <w:r w:rsidR="00CB2824" w:rsidRPr="00116591">
        <w:rPr>
          <w:b/>
        </w:rPr>
        <w:t xml:space="preserve">projects </w:t>
      </w:r>
      <w:r w:rsidRPr="00116591">
        <w:rPr>
          <w:b/>
        </w:rPr>
        <w:t xml:space="preserve">completed within six months </w:t>
      </w:r>
      <w:r w:rsidRPr="00116591">
        <w:t>after the funding contract</w:t>
      </w:r>
      <w:r>
        <w:t xml:space="preserve"> is signed, a Final Acquittal Report alone will suffice. </w:t>
      </w:r>
    </w:p>
    <w:p w14:paraId="4380C619" w14:textId="77777777" w:rsidR="00E45983" w:rsidRDefault="00A62CA3">
      <w:pPr>
        <w:spacing w:after="0" w:line="259" w:lineRule="auto"/>
        <w:ind w:left="0" w:firstLine="0"/>
        <w:jc w:val="left"/>
      </w:pPr>
      <w:r>
        <w:t xml:space="preserve"> </w:t>
      </w:r>
    </w:p>
    <w:p w14:paraId="3E3C84C0" w14:textId="77777777" w:rsidR="00E45983" w:rsidRDefault="00A62CA3">
      <w:pPr>
        <w:pStyle w:val="Heading1"/>
        <w:ind w:left="-5"/>
      </w:pPr>
      <w:r>
        <w:t>Acquittal Procedure</w:t>
      </w:r>
      <w:r>
        <w:rPr>
          <w:b w:val="0"/>
        </w:rPr>
        <w:t xml:space="preserve"> </w:t>
      </w:r>
    </w:p>
    <w:p w14:paraId="32BD8128" w14:textId="77777777" w:rsidR="00E45983" w:rsidRDefault="00A62CA3">
      <w:pPr>
        <w:spacing w:after="0" w:line="259" w:lineRule="auto"/>
        <w:ind w:left="0" w:firstLine="0"/>
        <w:jc w:val="left"/>
      </w:pPr>
      <w:r>
        <w:t xml:space="preserve"> </w:t>
      </w:r>
    </w:p>
    <w:p w14:paraId="2B10B958" w14:textId="77777777" w:rsidR="00E45983" w:rsidRDefault="00A62CA3">
      <w:r>
        <w:t xml:space="preserve">Acquittal Reports must: </w:t>
      </w:r>
    </w:p>
    <w:p w14:paraId="3BA32854" w14:textId="77777777" w:rsidR="00E45983" w:rsidRDefault="00A62CA3">
      <w:pPr>
        <w:spacing w:after="15" w:line="259" w:lineRule="auto"/>
        <w:ind w:left="0" w:firstLine="0"/>
        <w:jc w:val="left"/>
      </w:pPr>
      <w:r>
        <w:t xml:space="preserve"> </w:t>
      </w:r>
    </w:p>
    <w:p w14:paraId="7D4F03AA" w14:textId="77777777" w:rsidR="00E45983" w:rsidRDefault="00A62CA3">
      <w:pPr>
        <w:numPr>
          <w:ilvl w:val="0"/>
          <w:numId w:val="3"/>
        </w:numPr>
        <w:ind w:hanging="360"/>
      </w:pPr>
      <w:r>
        <w:t xml:space="preserve">acquit all DAP funds provided </w:t>
      </w:r>
    </w:p>
    <w:p w14:paraId="5B4C9933" w14:textId="77777777" w:rsidR="00E45983" w:rsidRDefault="00A62CA3">
      <w:pPr>
        <w:numPr>
          <w:ilvl w:val="0"/>
          <w:numId w:val="3"/>
        </w:numPr>
        <w:ind w:hanging="360"/>
      </w:pPr>
      <w:r>
        <w:t xml:space="preserve">demonstrate the project’s progress and benefits </w:t>
      </w:r>
    </w:p>
    <w:p w14:paraId="249E30E4" w14:textId="77777777" w:rsidR="00E45983" w:rsidRDefault="00A62CA3">
      <w:pPr>
        <w:numPr>
          <w:ilvl w:val="0"/>
          <w:numId w:val="3"/>
        </w:numPr>
        <w:ind w:hanging="360"/>
      </w:pPr>
      <w:r>
        <w:t xml:space="preserve">conform with the format provided </w:t>
      </w:r>
    </w:p>
    <w:p w14:paraId="63C65BDD" w14:textId="77777777" w:rsidR="00E45983" w:rsidRDefault="00A62CA3">
      <w:pPr>
        <w:numPr>
          <w:ilvl w:val="0"/>
          <w:numId w:val="3"/>
        </w:numPr>
        <w:ind w:hanging="360"/>
      </w:pPr>
      <w:r>
        <w:t xml:space="preserve">comply with deadlines in the DAP contract </w:t>
      </w:r>
    </w:p>
    <w:p w14:paraId="4BBF2099" w14:textId="77777777" w:rsidR="009B690A" w:rsidRPr="009B690A" w:rsidRDefault="00A62CA3">
      <w:pPr>
        <w:numPr>
          <w:ilvl w:val="0"/>
          <w:numId w:val="3"/>
        </w:numPr>
        <w:ind w:hanging="360"/>
      </w:pPr>
      <w:r>
        <w:t xml:space="preserve">return any unspent funds to the Australian Embassy </w:t>
      </w:r>
    </w:p>
    <w:p w14:paraId="7E527C53" w14:textId="77777777" w:rsidR="00E45983" w:rsidRDefault="00A62CA3">
      <w:pPr>
        <w:numPr>
          <w:ilvl w:val="0"/>
          <w:numId w:val="3"/>
        </w:numPr>
        <w:ind w:hanging="360"/>
      </w:pPr>
      <w:r>
        <w:t xml:space="preserve">provide copies of </w:t>
      </w:r>
      <w:r>
        <w:rPr>
          <w:b/>
        </w:rPr>
        <w:t>all</w:t>
      </w:r>
      <w:r>
        <w:t xml:space="preserve"> receipts </w:t>
      </w:r>
    </w:p>
    <w:p w14:paraId="3D7867D3" w14:textId="77777777" w:rsidR="00E45983" w:rsidRDefault="00A62CA3">
      <w:pPr>
        <w:spacing w:after="0" w:line="259" w:lineRule="auto"/>
        <w:ind w:left="720" w:firstLine="0"/>
        <w:jc w:val="left"/>
      </w:pPr>
      <w:r>
        <w:t xml:space="preserve"> </w:t>
      </w:r>
    </w:p>
    <w:p w14:paraId="4F33E43D" w14:textId="77777777" w:rsidR="00E45983" w:rsidRDefault="00A62CA3">
      <w:pPr>
        <w:spacing w:after="0"/>
      </w:pPr>
      <w:r>
        <w:t xml:space="preserve">In </w:t>
      </w:r>
      <w:r>
        <w:rPr>
          <w:b/>
        </w:rPr>
        <w:t>exceptional</w:t>
      </w:r>
      <w:r>
        <w:t xml:space="preserve"> circumstances, the Australian Embassy may approve </w:t>
      </w:r>
      <w:r w:rsidR="009B690A">
        <w:t xml:space="preserve">prior </w:t>
      </w:r>
      <w:r>
        <w:t>written requests to reallocate unspent funds to a related project</w:t>
      </w:r>
      <w:r w:rsidR="009B690A">
        <w:t xml:space="preserve"> if said project is within the timeframe of the signed contract</w:t>
      </w:r>
      <w:r>
        <w:t xml:space="preserve">. </w:t>
      </w:r>
    </w:p>
    <w:p w14:paraId="14C7E928" w14:textId="77777777" w:rsidR="00E45983" w:rsidRDefault="00A62CA3">
      <w:pPr>
        <w:spacing w:after="0" w:line="259" w:lineRule="auto"/>
        <w:ind w:left="0" w:firstLine="0"/>
        <w:jc w:val="left"/>
      </w:pPr>
      <w:r>
        <w:rPr>
          <w:b/>
        </w:rPr>
        <w:t xml:space="preserve"> </w:t>
      </w:r>
    </w:p>
    <w:p w14:paraId="544853B6" w14:textId="77777777" w:rsidR="00E45983" w:rsidRDefault="00A62CA3">
      <w:pPr>
        <w:pStyle w:val="Heading1"/>
        <w:ind w:left="-5"/>
      </w:pPr>
      <w:r>
        <w:t xml:space="preserve">Media </w:t>
      </w:r>
    </w:p>
    <w:p w14:paraId="75C03F16" w14:textId="77777777" w:rsidR="00E45983" w:rsidRDefault="00A62CA3">
      <w:pPr>
        <w:spacing w:after="0" w:line="259" w:lineRule="auto"/>
        <w:ind w:left="0" w:firstLine="0"/>
        <w:jc w:val="left"/>
      </w:pPr>
      <w:r>
        <w:t xml:space="preserve"> </w:t>
      </w:r>
    </w:p>
    <w:p w14:paraId="6B412441" w14:textId="77777777" w:rsidR="00E45983" w:rsidRDefault="00A62CA3">
      <w:pPr>
        <w:spacing w:after="0"/>
      </w:pPr>
      <w:r>
        <w:t>Publicity for approved projects must be cleared with the Australian Embassy</w:t>
      </w:r>
      <w:r w:rsidR="00572E94">
        <w:t>, Koror</w:t>
      </w:r>
      <w:r>
        <w:t>. Where possible, any media release is to be cleared with the Australian Embassy before releasing to local media. Suitable recognition should be given to the Government of Australia for any publicity activity. All projects</w:t>
      </w:r>
      <w:r w:rsidR="00572E94">
        <w:t xml:space="preserve"> should reference the </w:t>
      </w:r>
      <w:r>
        <w:t xml:space="preserve">Australian Aid </w:t>
      </w:r>
      <w:r w:rsidR="00572E94">
        <w:lastRenderedPageBreak/>
        <w:t>identifier (</w:t>
      </w:r>
      <w:r>
        <w:t>logo</w:t>
      </w:r>
      <w:r w:rsidR="00572E94">
        <w:t xml:space="preserve">) which can be found here: </w:t>
      </w:r>
      <w:r>
        <w:t xml:space="preserve">  </w:t>
      </w:r>
      <w:hyperlink r:id="rId8" w:history="1">
        <w:r w:rsidR="00572E94" w:rsidRPr="00161901">
          <w:rPr>
            <w:rStyle w:val="Hyperlink"/>
          </w:rPr>
          <w:t>https://www.dfat.gov.au/about-us/corporate/Pages/logos-and-style-guides</w:t>
        </w:r>
      </w:hyperlink>
      <w:r w:rsidR="00572E94">
        <w:t xml:space="preserve"> </w:t>
      </w:r>
    </w:p>
    <w:p w14:paraId="3D18B5CB" w14:textId="77777777" w:rsidR="00E45983" w:rsidRDefault="00A62CA3">
      <w:pPr>
        <w:spacing w:after="0" w:line="259" w:lineRule="auto"/>
        <w:ind w:left="0" w:firstLine="0"/>
        <w:jc w:val="left"/>
      </w:pPr>
      <w:r>
        <w:rPr>
          <w:b/>
        </w:rPr>
        <w:t xml:space="preserve"> </w:t>
      </w:r>
    </w:p>
    <w:p w14:paraId="7803010A" w14:textId="77777777" w:rsidR="00E45983" w:rsidRDefault="00A62CA3">
      <w:pPr>
        <w:pStyle w:val="Heading1"/>
        <w:ind w:left="-5"/>
      </w:pPr>
      <w:r>
        <w:t xml:space="preserve">Application Procedure </w:t>
      </w:r>
    </w:p>
    <w:p w14:paraId="264BC3BC" w14:textId="77777777" w:rsidR="00E45983" w:rsidRDefault="00A62CA3">
      <w:pPr>
        <w:spacing w:after="15" w:line="259" w:lineRule="auto"/>
        <w:ind w:left="0" w:firstLine="0"/>
        <w:jc w:val="left"/>
      </w:pPr>
      <w:r>
        <w:t xml:space="preserve"> </w:t>
      </w:r>
    </w:p>
    <w:p w14:paraId="43A0DABD" w14:textId="77777777" w:rsidR="00E45983" w:rsidRDefault="00A62CA3">
      <w:pPr>
        <w:numPr>
          <w:ilvl w:val="0"/>
          <w:numId w:val="4"/>
        </w:numPr>
        <w:ind w:hanging="360"/>
      </w:pPr>
      <w:r>
        <w:t xml:space="preserve">Read these DAP Guidelines to ensure that your application meets funding </w:t>
      </w:r>
      <w:r w:rsidR="009B690A">
        <w:t>eligibility</w:t>
      </w:r>
      <w:r>
        <w:t xml:space="preserve">. </w:t>
      </w:r>
    </w:p>
    <w:p w14:paraId="0CF45D87" w14:textId="77777777" w:rsidR="00E45983" w:rsidRDefault="00A62CA3">
      <w:pPr>
        <w:numPr>
          <w:ilvl w:val="0"/>
          <w:numId w:val="4"/>
        </w:numPr>
        <w:ind w:hanging="360"/>
      </w:pPr>
      <w:r>
        <w:t>Complete the appl</w:t>
      </w:r>
      <w:r w:rsidR="009B690A">
        <w:t>ication form online</w:t>
      </w:r>
      <w:r w:rsidR="00966F62">
        <w:t>, refer below for further details</w:t>
      </w:r>
      <w:r>
        <w:t xml:space="preserve">. </w:t>
      </w:r>
    </w:p>
    <w:p w14:paraId="15B4C7DB" w14:textId="77777777" w:rsidR="00E45983" w:rsidRDefault="00040564">
      <w:pPr>
        <w:numPr>
          <w:ilvl w:val="0"/>
          <w:numId w:val="4"/>
        </w:numPr>
        <w:ind w:hanging="360"/>
      </w:pPr>
      <w:r>
        <w:t>I</w:t>
      </w:r>
      <w:r w:rsidR="00A62CA3">
        <w:t xml:space="preserve">nclude an itemized budget and pro forma invoices for goods and services.  </w:t>
      </w:r>
    </w:p>
    <w:p w14:paraId="5363DECB" w14:textId="77777777" w:rsidR="00E45983" w:rsidRDefault="00A62CA3">
      <w:pPr>
        <w:numPr>
          <w:ilvl w:val="0"/>
          <w:numId w:val="4"/>
        </w:numPr>
        <w:ind w:hanging="360"/>
      </w:pPr>
      <w:r>
        <w:t xml:space="preserve">For proposals of a technical nature, attach an appraisal from a technically qualified authority.   </w:t>
      </w:r>
    </w:p>
    <w:p w14:paraId="39670177" w14:textId="77777777" w:rsidR="00E45983" w:rsidRDefault="00A62CA3">
      <w:pPr>
        <w:numPr>
          <w:ilvl w:val="0"/>
          <w:numId w:val="4"/>
        </w:numPr>
        <w:ind w:hanging="360"/>
      </w:pPr>
      <w:r>
        <w:rPr>
          <w:b/>
        </w:rPr>
        <w:t>All</w:t>
      </w:r>
      <w:r>
        <w:t xml:space="preserve"> questions must be answered or the proposal will not be considered for funding. </w:t>
      </w:r>
    </w:p>
    <w:p w14:paraId="3FB00567" w14:textId="77777777" w:rsidR="00E45983" w:rsidRDefault="00A62CA3" w:rsidP="00F6598B">
      <w:pPr>
        <w:spacing w:after="0" w:line="259" w:lineRule="auto"/>
        <w:ind w:left="0" w:firstLine="0"/>
        <w:jc w:val="left"/>
      </w:pPr>
      <w:r>
        <w:rPr>
          <w:b/>
        </w:rPr>
        <w:t xml:space="preserve"> </w:t>
      </w:r>
      <w:r>
        <w:rPr>
          <w:b/>
        </w:rPr>
        <w:tab/>
      </w:r>
      <w:r>
        <w:t xml:space="preserve"> </w:t>
      </w:r>
    </w:p>
    <w:p w14:paraId="5ECC0BB8" w14:textId="77777777" w:rsidR="00E45983" w:rsidRDefault="00F6598B">
      <w:r>
        <w:t>An</w:t>
      </w:r>
      <w:r w:rsidR="00A62CA3">
        <w:t xml:space="preserve">y questions, please contact the Australian Embassy in </w:t>
      </w:r>
      <w:r w:rsidR="00AF5753">
        <w:t>Koror</w:t>
      </w:r>
      <w:r>
        <w:t xml:space="preserve"> by phone 488 </w:t>
      </w:r>
      <w:r w:rsidR="00AF5753">
        <w:t>4628</w:t>
      </w:r>
      <w:r w:rsidR="00A62CA3">
        <w:t xml:space="preserve"> or by email, </w:t>
      </w:r>
      <w:hyperlink r:id="rId9" w:history="1">
        <w:r w:rsidR="00966F62" w:rsidRPr="008F52EA">
          <w:rPr>
            <w:rStyle w:val="Hyperlink"/>
            <w:u w:color="0000FF"/>
          </w:rPr>
          <w:t>koror.embassy@dfat.gov.au</w:t>
        </w:r>
      </w:hyperlink>
      <w:r w:rsidR="00040564">
        <w:t>.</w:t>
      </w:r>
    </w:p>
    <w:p w14:paraId="54EA80BD" w14:textId="77777777" w:rsidR="00966F62" w:rsidRDefault="00966F62"/>
    <w:p w14:paraId="4359A5E8" w14:textId="77777777" w:rsidR="00966F62" w:rsidRDefault="00966F62" w:rsidP="00966F62">
      <w:pPr>
        <w:pStyle w:val="Heading1"/>
        <w:ind w:left="-5"/>
      </w:pPr>
      <w:r>
        <w:t xml:space="preserve">Instructions - On line application </w:t>
      </w:r>
    </w:p>
    <w:p w14:paraId="613E878D" w14:textId="77777777" w:rsidR="003E0D7F" w:rsidRDefault="003E0D7F" w:rsidP="003E0D7F"/>
    <w:p w14:paraId="36E316FF" w14:textId="77777777" w:rsidR="003E0D7F" w:rsidRDefault="003E0D7F" w:rsidP="003E0D7F">
      <w:r>
        <w:t xml:space="preserve">All applications must be accompanied by a fully costed project budget. </w:t>
      </w:r>
    </w:p>
    <w:p w14:paraId="40F60842" w14:textId="77777777" w:rsidR="003E0D7F" w:rsidRDefault="003E0D7F" w:rsidP="003E0D7F"/>
    <w:p w14:paraId="39A79ABA" w14:textId="77777777" w:rsidR="003E0D7F" w:rsidRDefault="003E0D7F" w:rsidP="003E0D7F">
      <w:r>
        <w:t xml:space="preserve">Notes: </w:t>
      </w:r>
    </w:p>
    <w:p w14:paraId="6DE7A7BC" w14:textId="77777777" w:rsidR="003E0D7F" w:rsidRDefault="003E0D7F" w:rsidP="003E0D7F"/>
    <w:p w14:paraId="7F2362BF" w14:textId="77777777" w:rsidR="003E0D7F" w:rsidRDefault="003E0D7F" w:rsidP="003E0D7F">
      <w:pPr>
        <w:pStyle w:val="ListParagraph"/>
        <w:numPr>
          <w:ilvl w:val="0"/>
          <w:numId w:val="7"/>
        </w:numPr>
      </w:pPr>
      <w:r>
        <w:t>If the project involves working with children, the organisation must have a current child protection policy</w:t>
      </w:r>
      <w:r w:rsidR="005610A1">
        <w:t xml:space="preserve"> </w:t>
      </w:r>
      <w:r>
        <w:t xml:space="preserve">or code of conduct to be eligible. </w:t>
      </w:r>
      <w:r w:rsidR="005610A1">
        <w:t xml:space="preserve">See Attachment A for an example Child Protection Code of Conduct. </w:t>
      </w:r>
    </w:p>
    <w:p w14:paraId="0B9022AA" w14:textId="77777777" w:rsidR="005610A1" w:rsidRDefault="005610A1" w:rsidP="003E0D7F">
      <w:pPr>
        <w:pStyle w:val="ListParagraph"/>
        <w:numPr>
          <w:ilvl w:val="0"/>
          <w:numId w:val="7"/>
        </w:numPr>
      </w:pPr>
      <w:r>
        <w:t xml:space="preserve">Recipients of DAP funding must ensure </w:t>
      </w:r>
      <w:r w:rsidR="00687A1B">
        <w:t>that no support or resources are provided to any entity subject to</w:t>
      </w:r>
      <w:r w:rsidR="006F1EB1">
        <w:t xml:space="preserve"> sanctions by the United Nation</w:t>
      </w:r>
      <w:r w:rsidR="00687A1B">
        <w:t xml:space="preserve">s Security Council or the Australian Government. </w:t>
      </w:r>
    </w:p>
    <w:p w14:paraId="338E8F2D" w14:textId="77777777" w:rsidR="00687A1B" w:rsidRDefault="00687A1B" w:rsidP="003E0D7F">
      <w:pPr>
        <w:pStyle w:val="ListParagraph"/>
        <w:numPr>
          <w:ilvl w:val="0"/>
          <w:numId w:val="7"/>
        </w:numPr>
      </w:pPr>
      <w:r>
        <w:t xml:space="preserve">Recipients of DAP funding must ensure that the work conducted in relation to this project is undertaken in a safe manner and complies with all applicable local laws, standards and policies that relate to health and safety. </w:t>
      </w:r>
    </w:p>
    <w:p w14:paraId="7F178CC2" w14:textId="77777777" w:rsidR="003E0D7F" w:rsidRPr="003E0D7F" w:rsidRDefault="003E0D7F" w:rsidP="003E0D7F"/>
    <w:sectPr w:rsidR="003E0D7F" w:rsidRPr="003E0D7F">
      <w:footerReference w:type="default" r:id="rId10"/>
      <w:pgSz w:w="11906" w:h="16838"/>
      <w:pgMar w:top="993" w:right="1128" w:bottom="124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9B7B9" w14:textId="77777777" w:rsidR="00936FB0" w:rsidRDefault="00936FB0" w:rsidP="00936FB0">
      <w:pPr>
        <w:spacing w:after="0" w:line="240" w:lineRule="auto"/>
      </w:pPr>
      <w:r>
        <w:separator/>
      </w:r>
    </w:p>
  </w:endnote>
  <w:endnote w:type="continuationSeparator" w:id="0">
    <w:p w14:paraId="62E3676E" w14:textId="77777777" w:rsidR="00936FB0" w:rsidRDefault="00936FB0" w:rsidP="00936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5591342"/>
      <w:docPartObj>
        <w:docPartGallery w:val="Page Numbers (Bottom of Page)"/>
        <w:docPartUnique/>
      </w:docPartObj>
    </w:sdtPr>
    <w:sdtEndPr>
      <w:rPr>
        <w:noProof/>
      </w:rPr>
    </w:sdtEndPr>
    <w:sdtContent>
      <w:p w14:paraId="33B9FF99" w14:textId="77777777" w:rsidR="00936FB0" w:rsidRDefault="00936FB0">
        <w:pPr>
          <w:pStyle w:val="Footer"/>
          <w:jc w:val="right"/>
        </w:pPr>
        <w:r>
          <w:fldChar w:fldCharType="begin"/>
        </w:r>
        <w:r>
          <w:instrText xml:space="preserve"> PAGE   \* MERGEFORMAT </w:instrText>
        </w:r>
        <w:r>
          <w:fldChar w:fldCharType="separate"/>
        </w:r>
        <w:r w:rsidR="00A2416D">
          <w:rPr>
            <w:noProof/>
          </w:rPr>
          <w:t>4</w:t>
        </w:r>
        <w:r>
          <w:rPr>
            <w:noProof/>
          </w:rPr>
          <w:fldChar w:fldCharType="end"/>
        </w:r>
      </w:p>
    </w:sdtContent>
  </w:sdt>
  <w:p w14:paraId="018F5CDD" w14:textId="77777777" w:rsidR="00936FB0" w:rsidRDefault="00936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55586" w14:textId="77777777" w:rsidR="00936FB0" w:rsidRDefault="00936FB0" w:rsidP="00936FB0">
      <w:pPr>
        <w:spacing w:after="0" w:line="240" w:lineRule="auto"/>
      </w:pPr>
      <w:r>
        <w:separator/>
      </w:r>
    </w:p>
  </w:footnote>
  <w:footnote w:type="continuationSeparator" w:id="0">
    <w:p w14:paraId="657E1A6A" w14:textId="77777777" w:rsidR="00936FB0" w:rsidRDefault="00936FB0" w:rsidP="00936F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BCB"/>
    <w:multiLevelType w:val="hybridMultilevel"/>
    <w:tmpl w:val="3D10DE16"/>
    <w:lvl w:ilvl="0" w:tplc="7F160F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D644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0EAE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EF435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7E1E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42E76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883E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42A5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44013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810D15"/>
    <w:multiLevelType w:val="hybridMultilevel"/>
    <w:tmpl w:val="A850B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D311ED"/>
    <w:multiLevelType w:val="hybridMultilevel"/>
    <w:tmpl w:val="BA587448"/>
    <w:lvl w:ilvl="0" w:tplc="6218988E">
      <w:start w:val="1"/>
      <w:numFmt w:val="decimal"/>
      <w:lvlText w:val="%1."/>
      <w:lvlJc w:val="left"/>
      <w:pPr>
        <w:ind w:left="705"/>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1" w:tplc="FB92DC72">
      <w:start w:val="1"/>
      <w:numFmt w:val="lowerLetter"/>
      <w:lvlText w:val="%2"/>
      <w:lvlJc w:val="left"/>
      <w:pPr>
        <w:ind w:left="144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2" w:tplc="B09CD0D0">
      <w:start w:val="1"/>
      <w:numFmt w:val="lowerRoman"/>
      <w:lvlText w:val="%3"/>
      <w:lvlJc w:val="left"/>
      <w:pPr>
        <w:ind w:left="216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3" w:tplc="3FECCAD0">
      <w:start w:val="1"/>
      <w:numFmt w:val="decimal"/>
      <w:lvlText w:val="%4"/>
      <w:lvlJc w:val="left"/>
      <w:pPr>
        <w:ind w:left="288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4" w:tplc="3ADA166E">
      <w:start w:val="1"/>
      <w:numFmt w:val="lowerLetter"/>
      <w:lvlText w:val="%5"/>
      <w:lvlJc w:val="left"/>
      <w:pPr>
        <w:ind w:left="360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5" w:tplc="F6188BAC">
      <w:start w:val="1"/>
      <w:numFmt w:val="lowerRoman"/>
      <w:lvlText w:val="%6"/>
      <w:lvlJc w:val="left"/>
      <w:pPr>
        <w:ind w:left="432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6" w:tplc="DDEEB6D8">
      <w:start w:val="1"/>
      <w:numFmt w:val="decimal"/>
      <w:lvlText w:val="%7"/>
      <w:lvlJc w:val="left"/>
      <w:pPr>
        <w:ind w:left="504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7" w:tplc="F434FA4C">
      <w:start w:val="1"/>
      <w:numFmt w:val="lowerLetter"/>
      <w:lvlText w:val="%8"/>
      <w:lvlJc w:val="left"/>
      <w:pPr>
        <w:ind w:left="576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lvl w:ilvl="8" w:tplc="E7008686">
      <w:start w:val="1"/>
      <w:numFmt w:val="lowerRoman"/>
      <w:lvlText w:val="%9"/>
      <w:lvlJc w:val="left"/>
      <w:pPr>
        <w:ind w:left="6480"/>
      </w:pPr>
      <w:rPr>
        <w:rFonts w:ascii="Ebrima" w:eastAsia="Ebrima" w:hAnsi="Ebrima" w:cs="Ebri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815FBA"/>
    <w:multiLevelType w:val="hybridMultilevel"/>
    <w:tmpl w:val="4BCAF5A0"/>
    <w:lvl w:ilvl="0" w:tplc="AF7836E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CD6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DC86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BAE2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49AB2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9A9A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6EFB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EE23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A099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C43827"/>
    <w:multiLevelType w:val="hybridMultilevel"/>
    <w:tmpl w:val="E0B07410"/>
    <w:lvl w:ilvl="0" w:tplc="E9980D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CECA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E0C2D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C4F8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0A8DE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66208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38EDE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8244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D52F1D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6EF2429"/>
    <w:multiLevelType w:val="hybridMultilevel"/>
    <w:tmpl w:val="C76C1A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9623255"/>
    <w:multiLevelType w:val="hybridMultilevel"/>
    <w:tmpl w:val="512A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C966A11"/>
    <w:multiLevelType w:val="multilevel"/>
    <w:tmpl w:val="CF12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83"/>
    <w:rsid w:val="00040564"/>
    <w:rsid w:val="00083BDE"/>
    <w:rsid w:val="00116591"/>
    <w:rsid w:val="001D245B"/>
    <w:rsid w:val="002E3FF7"/>
    <w:rsid w:val="00304A60"/>
    <w:rsid w:val="003D146D"/>
    <w:rsid w:val="003E0D7F"/>
    <w:rsid w:val="00446755"/>
    <w:rsid w:val="0048092A"/>
    <w:rsid w:val="004E4CD0"/>
    <w:rsid w:val="005610A1"/>
    <w:rsid w:val="00572E94"/>
    <w:rsid w:val="006812A0"/>
    <w:rsid w:val="00687A1B"/>
    <w:rsid w:val="006F1EB1"/>
    <w:rsid w:val="00752279"/>
    <w:rsid w:val="00774510"/>
    <w:rsid w:val="00936FB0"/>
    <w:rsid w:val="0096051A"/>
    <w:rsid w:val="00961338"/>
    <w:rsid w:val="00966F62"/>
    <w:rsid w:val="009A1DFA"/>
    <w:rsid w:val="009B690A"/>
    <w:rsid w:val="00A0308E"/>
    <w:rsid w:val="00A2416D"/>
    <w:rsid w:val="00A62CA3"/>
    <w:rsid w:val="00AF04B7"/>
    <w:rsid w:val="00AF4168"/>
    <w:rsid w:val="00AF5753"/>
    <w:rsid w:val="00C235FA"/>
    <w:rsid w:val="00CB2824"/>
    <w:rsid w:val="00CF74DD"/>
    <w:rsid w:val="00D16522"/>
    <w:rsid w:val="00D2427C"/>
    <w:rsid w:val="00D65C32"/>
    <w:rsid w:val="00E45983"/>
    <w:rsid w:val="00EC4400"/>
    <w:rsid w:val="00F65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BE0B3E"/>
  <w15:docId w15:val="{8BEE82BB-4815-4B37-89B4-09868EFC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8" w:lineRule="auto"/>
      <w:ind w:left="10" w:hanging="10"/>
      <w:jc w:val="both"/>
    </w:pPr>
    <w:rPr>
      <w:rFonts w:ascii="Ebrima" w:eastAsia="Ebrima" w:hAnsi="Ebrima" w:cs="Ebrim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Ebrima" w:eastAsia="Ebrima" w:hAnsi="Ebrima" w:cs="Ebrima"/>
      <w:b/>
      <w:color w:val="000000"/>
      <w:sz w:val="24"/>
    </w:rPr>
  </w:style>
  <w:style w:type="paragraph" w:styleId="Heading4">
    <w:name w:val="heading 4"/>
    <w:basedOn w:val="Normal"/>
    <w:next w:val="Normal"/>
    <w:link w:val="Heading4Char"/>
    <w:uiPriority w:val="9"/>
    <w:semiHidden/>
    <w:unhideWhenUsed/>
    <w:qFormat/>
    <w:rsid w:val="004467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Ebrima" w:eastAsia="Ebrima" w:hAnsi="Ebrima" w:cs="Ebrima"/>
      <w:b/>
      <w:color w:val="000000"/>
      <w:sz w:val="24"/>
    </w:rPr>
  </w:style>
  <w:style w:type="character" w:styleId="Hyperlink">
    <w:name w:val="Hyperlink"/>
    <w:basedOn w:val="DefaultParagraphFont"/>
    <w:uiPriority w:val="99"/>
    <w:unhideWhenUsed/>
    <w:rsid w:val="00752279"/>
    <w:rPr>
      <w:color w:val="0563C1" w:themeColor="hyperlink"/>
      <w:u w:val="single"/>
    </w:rPr>
  </w:style>
  <w:style w:type="paragraph" w:styleId="ListParagraph">
    <w:name w:val="List Paragraph"/>
    <w:basedOn w:val="Normal"/>
    <w:uiPriority w:val="34"/>
    <w:qFormat/>
    <w:rsid w:val="002E3FF7"/>
    <w:pPr>
      <w:ind w:left="720"/>
      <w:contextualSpacing/>
    </w:pPr>
  </w:style>
  <w:style w:type="paragraph" w:styleId="Header">
    <w:name w:val="header"/>
    <w:basedOn w:val="Normal"/>
    <w:link w:val="HeaderChar"/>
    <w:uiPriority w:val="99"/>
    <w:unhideWhenUsed/>
    <w:rsid w:val="00936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FB0"/>
    <w:rPr>
      <w:rFonts w:ascii="Ebrima" w:eastAsia="Ebrima" w:hAnsi="Ebrima" w:cs="Ebrima"/>
      <w:color w:val="000000"/>
      <w:sz w:val="24"/>
    </w:rPr>
  </w:style>
  <w:style w:type="paragraph" w:styleId="Footer">
    <w:name w:val="footer"/>
    <w:basedOn w:val="Normal"/>
    <w:link w:val="FooterChar"/>
    <w:uiPriority w:val="99"/>
    <w:unhideWhenUsed/>
    <w:rsid w:val="00936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FB0"/>
    <w:rPr>
      <w:rFonts w:ascii="Ebrima" w:eastAsia="Ebrima" w:hAnsi="Ebrima" w:cs="Ebrima"/>
      <w:color w:val="000000"/>
      <w:sz w:val="24"/>
    </w:rPr>
  </w:style>
  <w:style w:type="paragraph" w:styleId="BalloonText">
    <w:name w:val="Balloon Text"/>
    <w:basedOn w:val="Normal"/>
    <w:link w:val="BalloonTextChar"/>
    <w:uiPriority w:val="99"/>
    <w:semiHidden/>
    <w:unhideWhenUsed/>
    <w:rsid w:val="00774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10"/>
    <w:rPr>
      <w:rFonts w:ascii="Segoe UI" w:eastAsia="Ebrima" w:hAnsi="Segoe UI" w:cs="Segoe UI"/>
      <w:color w:val="000000"/>
      <w:sz w:val="18"/>
      <w:szCs w:val="18"/>
    </w:rPr>
  </w:style>
  <w:style w:type="character" w:customStyle="1" w:styleId="Heading4Char">
    <w:name w:val="Heading 4 Char"/>
    <w:basedOn w:val="DefaultParagraphFont"/>
    <w:link w:val="Heading4"/>
    <w:uiPriority w:val="9"/>
    <w:semiHidden/>
    <w:rsid w:val="00446755"/>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30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fat.gov.au/about-us/corporate/Pages/logos-and-style-guide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oror.embassy@dfa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946</Words>
  <Characters>5505</Characters>
  <Application>Microsoft Office Word</Application>
  <DocSecurity>0</DocSecurity>
  <Lines>151</Lines>
  <Paragraphs>65</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 Raikabula</dc:creator>
  <cp:keywords> [SEC=OFFICIAL]</cp:keywords>
  <cp:lastModifiedBy>Richelle</cp:lastModifiedBy>
  <cp:revision>3</cp:revision>
  <dcterms:created xsi:type="dcterms:W3CDTF">2021-06-16T01:57:00Z</dcterms:created>
  <dcterms:modified xsi:type="dcterms:W3CDTF">2021-06-16T02:04:00Z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7423a63b-2a24-4901-b861-25e4a1481d6f</vt:lpwstr>
  </property>
  <property fmtid="{D5CDD505-2E9C-101B-9397-08002B2CF9AE}" pid="3" name="SEC">
    <vt:lpwstr>OFFICIAL</vt:lpwstr>
  </property>
  <property fmtid="{D5CDD505-2E9C-101B-9397-08002B2CF9AE}" pid="4" name="DLM">
    <vt:lpwstr>No DLM</vt:lpwstr>
  </property>
  <property fmtid="{D5CDD505-2E9C-101B-9397-08002B2CF9AE}" pid="5" name="_DocHome">
    <vt:i4>-1258585039</vt:i4>
  </property>
  <property fmtid="{D5CDD505-2E9C-101B-9397-08002B2CF9AE}" pid="6" name="PM_MinimumSecurityClassification">
    <vt:lpwstr>OFFICIAL</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A8228D60F5D7497EA46A0BE540A0D8BE</vt:lpwstr>
  </property>
  <property fmtid="{D5CDD505-2E9C-101B-9397-08002B2CF9AE}" pid="13" name="PM_ProtectiveMarkingValue_Footer">
    <vt:lpwstr>OFFICIAL</vt:lpwstr>
  </property>
  <property fmtid="{D5CDD505-2E9C-101B-9397-08002B2CF9AE}" pid="14" name="PM_Originator_Hash_SHA1">
    <vt:lpwstr>9C8547612DF449C7B113869985F6E677AEBBDF12</vt:lpwstr>
  </property>
  <property fmtid="{D5CDD505-2E9C-101B-9397-08002B2CF9AE}" pid="15" name="PM_OriginationTimeStamp">
    <vt:lpwstr>2021-06-16T01:59:20Z</vt:lpwstr>
  </property>
  <property fmtid="{D5CDD505-2E9C-101B-9397-08002B2CF9AE}" pid="16" name="PM_ProtectiveMarkingValue_Header">
    <vt:lpwstr>OFFICIAL</vt:lpwstr>
  </property>
  <property fmtid="{D5CDD505-2E9C-101B-9397-08002B2CF9AE}" pid="17" name="PM_ProtectiveMarkingImage_Header">
    <vt:lpwstr>C:\Program Files (x86)\Common Files\janusNET Shared\janusSEAL\Images\DocumentSlashBlue.png</vt:lpwstr>
  </property>
  <property fmtid="{D5CDD505-2E9C-101B-9397-08002B2CF9AE}" pid="18" name="PM_ProtectiveMarkingImage_Footer">
    <vt:lpwstr>C:\Program Files (x86)\Common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Hash_Version">
    <vt:lpwstr>2018.0</vt:lpwstr>
  </property>
  <property fmtid="{D5CDD505-2E9C-101B-9397-08002B2CF9AE}" pid="24" name="PM_Hash_Salt_Prev">
    <vt:lpwstr>1F736C4575C347F221AB1161EA7D3430</vt:lpwstr>
  </property>
  <property fmtid="{D5CDD505-2E9C-101B-9397-08002B2CF9AE}" pid="25" name="PM_Hash_Salt">
    <vt:lpwstr>9D98673DD631A81171BB9F346D1F444F</vt:lpwstr>
  </property>
  <property fmtid="{D5CDD505-2E9C-101B-9397-08002B2CF9AE}" pid="26" name="PM_Hash_SHA1">
    <vt:lpwstr>6FADEFCAC1739E1CA291C09C5D5174168F6D7B5F</vt:lpwstr>
  </property>
  <property fmtid="{D5CDD505-2E9C-101B-9397-08002B2CF9AE}" pid="27" name="PM_SecurityClassification_Prev">
    <vt:lpwstr>OFFICIAL</vt:lpwstr>
  </property>
  <property fmtid="{D5CDD505-2E9C-101B-9397-08002B2CF9AE}" pid="28" name="PM_Qualifier_Prev">
    <vt:lpwstr/>
  </property>
</Properties>
</file>